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12" w:rsidRDefault="004266B5">
      <w:r w:rsidRPr="004266B5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-681554</wp:posOffset>
            </wp:positionV>
            <wp:extent cx="5731510" cy="1275094"/>
            <wp:effectExtent l="0" t="0" r="2540" b="1270"/>
            <wp:wrapNone/>
            <wp:docPr id="1" name="Picture 1" descr="\\asset3161\lhn\All in One new\All in All\School Logos\New Logos\CROFTON_BLUE_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set3161\lhn\All in One new\All in All\School Logos\New Logos\CROFTON_BLUE_BANNE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6AE" w:rsidRDefault="00CC36AE" w:rsidP="00C9287A">
      <w:pPr>
        <w:rPr>
          <w:sz w:val="28"/>
          <w:szCs w:val="28"/>
        </w:rPr>
      </w:pPr>
    </w:p>
    <w:p w:rsidR="00F9291D" w:rsidRPr="00793D62" w:rsidRDefault="00793D62" w:rsidP="00793D62">
      <w:pPr>
        <w:jc w:val="center"/>
        <w:rPr>
          <w:rFonts w:ascii="Arial" w:hAnsi="Arial" w:cs="Arial"/>
          <w:b/>
          <w:sz w:val="28"/>
          <w:szCs w:val="28"/>
        </w:rPr>
      </w:pPr>
      <w:r w:rsidRPr="00793D62">
        <w:rPr>
          <w:rFonts w:ascii="Arial" w:hAnsi="Arial" w:cs="Arial"/>
          <w:b/>
          <w:sz w:val="28"/>
          <w:szCs w:val="28"/>
        </w:rPr>
        <w:t>Role Profile</w:t>
      </w:r>
    </w:p>
    <w:p w:rsidR="00CC36AE" w:rsidRPr="00C70925" w:rsidRDefault="00CC36AE" w:rsidP="00C70925">
      <w:pPr>
        <w:rPr>
          <w:rFonts w:ascii="Arial" w:hAnsi="Arial" w:cs="Arial"/>
          <w:b/>
        </w:rPr>
      </w:pPr>
      <w:r w:rsidRPr="005A2F30">
        <w:rPr>
          <w:rFonts w:ascii="Arial" w:hAnsi="Arial" w:cs="Arial"/>
          <w:b/>
          <w:sz w:val="24"/>
          <w:szCs w:val="24"/>
        </w:rPr>
        <w:t>Role:</w:t>
      </w:r>
      <w:r w:rsidRPr="005A2F30">
        <w:rPr>
          <w:rFonts w:ascii="Arial" w:hAnsi="Arial" w:cs="Arial"/>
          <w:b/>
          <w:sz w:val="24"/>
          <w:szCs w:val="24"/>
        </w:rPr>
        <w:tab/>
      </w:r>
      <w:r w:rsidRPr="005A2F30">
        <w:rPr>
          <w:rFonts w:ascii="Arial" w:hAnsi="Arial" w:cs="Arial"/>
          <w:sz w:val="24"/>
          <w:szCs w:val="24"/>
        </w:rPr>
        <w:tab/>
      </w:r>
      <w:r w:rsidR="00116242" w:rsidRPr="00BB4A22">
        <w:rPr>
          <w:rFonts w:ascii="Arial" w:hAnsi="Arial" w:cs="Arial"/>
          <w:b/>
          <w:sz w:val="24"/>
          <w:szCs w:val="24"/>
        </w:rPr>
        <w:t>Director of Teaching and Learning</w:t>
      </w:r>
      <w:r w:rsidR="00720802">
        <w:rPr>
          <w:rFonts w:ascii="Arial" w:hAnsi="Arial" w:cs="Arial"/>
          <w:sz w:val="24"/>
          <w:szCs w:val="24"/>
        </w:rPr>
        <w:tab/>
      </w:r>
      <w:r w:rsidR="00C70925">
        <w:rPr>
          <w:rFonts w:ascii="Arial" w:hAnsi="Arial" w:cs="Arial"/>
          <w:sz w:val="24"/>
          <w:szCs w:val="24"/>
        </w:rPr>
        <w:tab/>
      </w:r>
    </w:p>
    <w:p w:rsidR="00C3540A" w:rsidRPr="003343F6" w:rsidRDefault="00C3540A" w:rsidP="00C94E47">
      <w:pPr>
        <w:jc w:val="both"/>
        <w:rPr>
          <w:rFonts w:ascii="Arial" w:hAnsi="Arial" w:cs="Arial"/>
          <w:sz w:val="24"/>
          <w:szCs w:val="24"/>
        </w:rPr>
      </w:pPr>
      <w:r w:rsidRPr="005A2F30">
        <w:rPr>
          <w:rFonts w:ascii="Arial" w:hAnsi="Arial" w:cs="Arial"/>
          <w:b/>
          <w:sz w:val="24"/>
          <w:szCs w:val="24"/>
        </w:rPr>
        <w:t>Grade:</w:t>
      </w:r>
      <w:r w:rsidR="00601A6F">
        <w:rPr>
          <w:rFonts w:ascii="Arial" w:hAnsi="Arial" w:cs="Arial"/>
          <w:sz w:val="24"/>
          <w:szCs w:val="24"/>
        </w:rPr>
        <w:tab/>
      </w:r>
      <w:r w:rsidR="004653E4">
        <w:rPr>
          <w:rFonts w:ascii="Arial" w:hAnsi="Arial" w:cs="Arial"/>
          <w:sz w:val="24"/>
          <w:szCs w:val="24"/>
        </w:rPr>
        <w:t>TLR 1c</w:t>
      </w:r>
      <w:r w:rsidR="00601A6F">
        <w:rPr>
          <w:rFonts w:ascii="Arial" w:hAnsi="Arial" w:cs="Arial"/>
          <w:sz w:val="24"/>
          <w:szCs w:val="24"/>
        </w:rPr>
        <w:tab/>
      </w:r>
      <w:r w:rsidRPr="003343F6">
        <w:rPr>
          <w:rFonts w:ascii="Arial" w:hAnsi="Arial" w:cs="Arial"/>
          <w:sz w:val="24"/>
          <w:szCs w:val="24"/>
        </w:rPr>
        <w:tab/>
      </w:r>
      <w:r w:rsidR="00882CBE">
        <w:rPr>
          <w:rFonts w:ascii="Arial" w:hAnsi="Arial" w:cs="Arial"/>
          <w:sz w:val="24"/>
          <w:szCs w:val="24"/>
        </w:rPr>
        <w:tab/>
      </w:r>
      <w:r w:rsidRPr="003343F6">
        <w:rPr>
          <w:rFonts w:ascii="Arial" w:hAnsi="Arial" w:cs="Arial"/>
          <w:sz w:val="24"/>
          <w:szCs w:val="24"/>
        </w:rPr>
        <w:tab/>
      </w:r>
    </w:p>
    <w:p w:rsidR="00CC36AE" w:rsidRPr="005A2F30" w:rsidRDefault="00F030BA" w:rsidP="00C94E47">
      <w:pPr>
        <w:jc w:val="both"/>
        <w:rPr>
          <w:rFonts w:ascii="Arial" w:hAnsi="Arial" w:cs="Arial"/>
          <w:sz w:val="24"/>
          <w:szCs w:val="24"/>
        </w:rPr>
      </w:pPr>
      <w:r w:rsidRPr="005A2F30">
        <w:rPr>
          <w:rFonts w:ascii="Arial" w:hAnsi="Arial" w:cs="Arial"/>
          <w:b/>
          <w:sz w:val="24"/>
          <w:szCs w:val="24"/>
        </w:rPr>
        <w:t>Working hours:</w:t>
      </w:r>
      <w:r w:rsidR="00882CBE">
        <w:rPr>
          <w:rFonts w:ascii="Arial" w:hAnsi="Arial" w:cs="Arial"/>
          <w:sz w:val="24"/>
          <w:szCs w:val="24"/>
        </w:rPr>
        <w:tab/>
      </w:r>
      <w:r w:rsidR="00090808" w:rsidRPr="00BE36C6">
        <w:rPr>
          <w:rFonts w:ascii="Arial" w:hAnsi="Arial" w:cs="Arial"/>
        </w:rPr>
        <w:t>195 days per year. Full time. (1265 hours)</w:t>
      </w:r>
    </w:p>
    <w:p w:rsidR="00CC36AE" w:rsidRPr="005A2F30" w:rsidRDefault="00CC36AE" w:rsidP="00C3540A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A2F30">
        <w:rPr>
          <w:rFonts w:ascii="Arial" w:hAnsi="Arial" w:cs="Arial"/>
          <w:b/>
          <w:sz w:val="24"/>
          <w:szCs w:val="24"/>
        </w:rPr>
        <w:t>Working days:</w:t>
      </w:r>
      <w:r w:rsidRPr="005A2F30">
        <w:rPr>
          <w:rFonts w:ascii="Arial" w:hAnsi="Arial" w:cs="Arial"/>
          <w:sz w:val="24"/>
          <w:szCs w:val="24"/>
        </w:rPr>
        <w:tab/>
      </w:r>
      <w:r w:rsidR="00090808">
        <w:rPr>
          <w:rFonts w:ascii="Arial" w:hAnsi="Arial" w:cs="Arial"/>
          <w:sz w:val="24"/>
          <w:szCs w:val="24"/>
        </w:rPr>
        <w:t xml:space="preserve">Term time </w:t>
      </w:r>
    </w:p>
    <w:p w:rsidR="00CC36AE" w:rsidRPr="005A2F30" w:rsidRDefault="00CC36AE" w:rsidP="00C3540A">
      <w:pPr>
        <w:jc w:val="both"/>
        <w:rPr>
          <w:rFonts w:ascii="Arial" w:hAnsi="Arial" w:cs="Arial"/>
          <w:sz w:val="24"/>
          <w:szCs w:val="24"/>
        </w:rPr>
      </w:pPr>
      <w:r w:rsidRPr="005A2F30">
        <w:rPr>
          <w:rFonts w:ascii="Arial" w:hAnsi="Arial" w:cs="Arial"/>
          <w:b/>
          <w:sz w:val="24"/>
          <w:szCs w:val="24"/>
        </w:rPr>
        <w:t>Location:</w:t>
      </w:r>
      <w:r w:rsidRPr="005A2F30">
        <w:rPr>
          <w:rFonts w:ascii="Arial" w:hAnsi="Arial" w:cs="Arial"/>
          <w:sz w:val="24"/>
          <w:szCs w:val="24"/>
        </w:rPr>
        <w:tab/>
      </w:r>
      <w:r w:rsidRPr="005A2F30">
        <w:rPr>
          <w:rFonts w:ascii="Arial" w:hAnsi="Arial" w:cs="Arial"/>
          <w:sz w:val="24"/>
          <w:szCs w:val="24"/>
        </w:rPr>
        <w:tab/>
      </w:r>
      <w:r w:rsidR="00C3540A" w:rsidRPr="005A2F30">
        <w:rPr>
          <w:rFonts w:ascii="Arial" w:hAnsi="Arial" w:cs="Arial"/>
          <w:sz w:val="24"/>
          <w:szCs w:val="24"/>
        </w:rPr>
        <w:t>Crofton School</w:t>
      </w:r>
    </w:p>
    <w:p w:rsidR="00452E21" w:rsidRPr="00452E21" w:rsidRDefault="00CC36AE" w:rsidP="00452E21">
      <w:pPr>
        <w:jc w:val="both"/>
        <w:rPr>
          <w:rFonts w:ascii="Arial" w:hAnsi="Arial" w:cs="Arial"/>
          <w:b/>
          <w:sz w:val="24"/>
          <w:szCs w:val="24"/>
        </w:rPr>
      </w:pPr>
      <w:r w:rsidRPr="005A2F30">
        <w:rPr>
          <w:rFonts w:ascii="Arial" w:hAnsi="Arial" w:cs="Arial"/>
          <w:b/>
          <w:sz w:val="24"/>
          <w:szCs w:val="24"/>
        </w:rPr>
        <w:t xml:space="preserve">Reports to: </w:t>
      </w:r>
      <w:r w:rsidR="003909D5" w:rsidRPr="00F9291D">
        <w:rPr>
          <w:rFonts w:ascii="Arial" w:hAnsi="Arial" w:cs="Arial"/>
          <w:sz w:val="28"/>
          <w:szCs w:val="28"/>
        </w:rPr>
        <w:tab/>
      </w:r>
      <w:r w:rsidR="00720802">
        <w:rPr>
          <w:rFonts w:ascii="Arial" w:hAnsi="Arial" w:cs="Arial"/>
          <w:sz w:val="28"/>
          <w:szCs w:val="28"/>
        </w:rPr>
        <w:tab/>
      </w:r>
      <w:r w:rsidR="004653E4" w:rsidRPr="004653E4">
        <w:rPr>
          <w:rFonts w:ascii="Arial" w:hAnsi="Arial" w:cs="Arial"/>
          <w:sz w:val="24"/>
          <w:szCs w:val="28"/>
        </w:rPr>
        <w:t>Deputy Headteacher</w:t>
      </w:r>
      <w:r w:rsidR="00452E21">
        <w:rPr>
          <w:rFonts w:ascii="Arial" w:hAnsi="Arial" w:cs="Arial"/>
          <w:sz w:val="28"/>
          <w:szCs w:val="28"/>
        </w:rPr>
        <w:tab/>
      </w:r>
    </w:p>
    <w:p w:rsidR="00452E21" w:rsidRDefault="00452E21" w:rsidP="00C70925">
      <w:pPr>
        <w:pBdr>
          <w:top w:val="single" w:sz="4" w:space="1" w:color="auto"/>
        </w:pBdr>
        <w:tabs>
          <w:tab w:val="left" w:pos="1118"/>
        </w:tabs>
        <w:spacing w:after="0"/>
        <w:rPr>
          <w:rFonts w:ascii="Arial" w:hAnsi="Arial" w:cs="Arial"/>
          <w:sz w:val="24"/>
          <w:szCs w:val="24"/>
        </w:rPr>
      </w:pPr>
    </w:p>
    <w:p w:rsidR="003909D5" w:rsidRPr="00452E21" w:rsidRDefault="00005198" w:rsidP="00D42E41">
      <w:pPr>
        <w:pBdr>
          <w:top w:val="single" w:sz="4" w:space="1" w:color="auto"/>
        </w:pBdr>
        <w:tabs>
          <w:tab w:val="left" w:pos="1118"/>
        </w:tabs>
        <w:spacing w:after="0"/>
        <w:rPr>
          <w:rFonts w:ascii="Arial" w:hAnsi="Arial" w:cs="Arial"/>
          <w:sz w:val="24"/>
          <w:szCs w:val="24"/>
        </w:rPr>
      </w:pPr>
      <w:r w:rsidRPr="00F9291D">
        <w:rPr>
          <w:rFonts w:ascii="Arial" w:hAnsi="Arial" w:cs="Arial"/>
          <w:sz w:val="24"/>
          <w:szCs w:val="24"/>
        </w:rPr>
        <w:t>Th</w:t>
      </w:r>
      <w:r w:rsidR="005A2F30">
        <w:rPr>
          <w:rFonts w:ascii="Arial" w:hAnsi="Arial" w:cs="Arial"/>
          <w:sz w:val="24"/>
          <w:szCs w:val="24"/>
        </w:rPr>
        <w:t>is role profile</w:t>
      </w:r>
      <w:r w:rsidRPr="00F9291D">
        <w:rPr>
          <w:rFonts w:ascii="Arial" w:hAnsi="Arial" w:cs="Arial"/>
          <w:sz w:val="24"/>
          <w:szCs w:val="24"/>
        </w:rPr>
        <w:t xml:space="preserve"> does not define in detail all the duties and responsibilities of the post.</w:t>
      </w:r>
      <w:r w:rsidR="00452E21">
        <w:rPr>
          <w:rFonts w:ascii="Arial" w:hAnsi="Arial" w:cs="Arial"/>
          <w:sz w:val="24"/>
          <w:szCs w:val="24"/>
        </w:rPr>
        <w:t xml:space="preserve"> </w:t>
      </w:r>
      <w:r w:rsidRPr="00F9291D">
        <w:rPr>
          <w:rFonts w:ascii="Arial" w:hAnsi="Arial" w:cs="Arial"/>
          <w:sz w:val="24"/>
          <w:szCs w:val="24"/>
        </w:rPr>
        <w:t>Your attention is drawn to the Crofton School Staff Handbook, which gives details of current school routines.</w:t>
      </w:r>
      <w:r w:rsidR="00452E21">
        <w:rPr>
          <w:rFonts w:ascii="Arial" w:hAnsi="Arial" w:cs="Arial"/>
          <w:sz w:val="28"/>
          <w:szCs w:val="28"/>
        </w:rPr>
        <w:tab/>
      </w:r>
    </w:p>
    <w:p w:rsidR="00287024" w:rsidRDefault="00287024" w:rsidP="00452E21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A2F30" w:rsidRDefault="005A2F30" w:rsidP="00452E21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Purpose:</w:t>
      </w:r>
    </w:p>
    <w:p w:rsidR="006100A4" w:rsidRPr="00243F06" w:rsidRDefault="00243F06" w:rsidP="00243F06">
      <w:pPr>
        <w:pStyle w:val="ListParagraph"/>
        <w:numPr>
          <w:ilvl w:val="0"/>
          <w:numId w:val="10"/>
        </w:num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partnership with Deputy Headteacher, set strategic direction and priorities for teaching and learning</w:t>
      </w:r>
    </w:p>
    <w:p w:rsidR="00D1198D" w:rsidRPr="00D1198D" w:rsidRDefault="00243F06" w:rsidP="00243F06">
      <w:pPr>
        <w:pStyle w:val="ListParagraph"/>
        <w:numPr>
          <w:ilvl w:val="0"/>
          <w:numId w:val="10"/>
        </w:num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impact of teaching and learning teams </w:t>
      </w:r>
      <w:r w:rsidR="00E55E5D">
        <w:rPr>
          <w:rFonts w:ascii="Arial" w:hAnsi="Arial" w:cs="Arial"/>
          <w:sz w:val="24"/>
          <w:szCs w:val="24"/>
        </w:rPr>
        <w:t xml:space="preserve">on pupil outcomes </w:t>
      </w:r>
      <w:r>
        <w:rPr>
          <w:rFonts w:ascii="Arial" w:hAnsi="Arial" w:cs="Arial"/>
          <w:sz w:val="24"/>
          <w:szCs w:val="24"/>
        </w:rPr>
        <w:t>is substantial and sustained</w:t>
      </w:r>
      <w:r w:rsidR="00D1198D">
        <w:rPr>
          <w:rFonts w:ascii="Arial" w:hAnsi="Arial" w:cs="Arial"/>
          <w:sz w:val="24"/>
          <w:szCs w:val="24"/>
        </w:rPr>
        <w:t>.</w:t>
      </w:r>
    </w:p>
    <w:p w:rsidR="00243F06" w:rsidRPr="00893C6D" w:rsidRDefault="00D1198D" w:rsidP="00243F06">
      <w:pPr>
        <w:pStyle w:val="ListParagraph"/>
        <w:numPr>
          <w:ilvl w:val="0"/>
          <w:numId w:val="10"/>
        </w:num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93C6D">
        <w:rPr>
          <w:rFonts w:ascii="Arial" w:hAnsi="Arial" w:cs="Arial"/>
          <w:sz w:val="24"/>
          <w:szCs w:val="24"/>
        </w:rPr>
        <w:t xml:space="preserve">Set whole school T and L priorities with clear performance criteria and monitor progress towards these. </w:t>
      </w:r>
    </w:p>
    <w:p w:rsidR="00243F06" w:rsidRPr="00243F06" w:rsidRDefault="00243F06" w:rsidP="00243F06">
      <w:pPr>
        <w:pStyle w:val="ListParagraph"/>
        <w:numPr>
          <w:ilvl w:val="0"/>
          <w:numId w:val="10"/>
        </w:num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key school authority on innovation in teaching and learning</w:t>
      </w:r>
    </w:p>
    <w:p w:rsidR="00243F06" w:rsidRPr="00243F06" w:rsidRDefault="00243F06" w:rsidP="00243F06">
      <w:pPr>
        <w:pStyle w:val="ListParagraph"/>
        <w:numPr>
          <w:ilvl w:val="0"/>
          <w:numId w:val="10"/>
        </w:num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 thinking about and development of teaching and learning in all aspects of school life</w:t>
      </w:r>
    </w:p>
    <w:p w:rsidR="00243F06" w:rsidRPr="00243F06" w:rsidRDefault="00243F06" w:rsidP="00243F06">
      <w:pPr>
        <w:pStyle w:val="ListParagraph"/>
        <w:numPr>
          <w:ilvl w:val="0"/>
          <w:numId w:val="10"/>
        </w:num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culture where staff are excited about teaching and learning, want it to be exceptional and have the professional knowledge, systems  and motivation to deliver this</w:t>
      </w:r>
    </w:p>
    <w:p w:rsidR="00D9685D" w:rsidRDefault="00D9685D" w:rsidP="00D9685D">
      <w:pPr>
        <w:pStyle w:val="ListParagraph"/>
        <w:numPr>
          <w:ilvl w:val="0"/>
          <w:numId w:val="10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Support,  challenge and inspire Teaching and Learning Team leaders and other leaders to develop exceptional standards</w:t>
      </w:r>
    </w:p>
    <w:p w:rsidR="00452E21" w:rsidRPr="005A2F30" w:rsidRDefault="00452E21" w:rsidP="005A2F30">
      <w:pPr>
        <w:spacing w:after="0"/>
        <w:rPr>
          <w:rFonts w:ascii="Arial" w:hAnsi="Arial" w:cs="Arial"/>
          <w:sz w:val="24"/>
          <w:szCs w:val="24"/>
        </w:rPr>
      </w:pPr>
    </w:p>
    <w:p w:rsidR="00287024" w:rsidRDefault="005F5FFD" w:rsidP="00452E21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43F06">
        <w:rPr>
          <w:rFonts w:ascii="Arial" w:hAnsi="Arial" w:cs="Arial"/>
          <w:b/>
          <w:sz w:val="24"/>
          <w:szCs w:val="24"/>
        </w:rPr>
        <w:t xml:space="preserve">  </w:t>
      </w:r>
    </w:p>
    <w:p w:rsidR="00267817" w:rsidRDefault="003909D5" w:rsidP="00452E21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5A2F30">
        <w:rPr>
          <w:rFonts w:ascii="Arial" w:hAnsi="Arial" w:cs="Arial"/>
          <w:b/>
          <w:sz w:val="24"/>
          <w:szCs w:val="24"/>
        </w:rPr>
        <w:t>Roles and Responsibilities:</w:t>
      </w:r>
    </w:p>
    <w:p w:rsidR="00FC469C" w:rsidRDefault="00243F06" w:rsidP="00601A6F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and Learning</w:t>
      </w:r>
    </w:p>
    <w:p w:rsidR="003C44C6" w:rsidRDefault="00243F06" w:rsidP="0093458E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3C44C6">
        <w:rPr>
          <w:rFonts w:ascii="Arial" w:hAnsi="Arial" w:cs="Arial"/>
          <w:sz w:val="24"/>
          <w:szCs w:val="24"/>
        </w:rPr>
        <w:t xml:space="preserve">Regularly and proactively update own professional knowledge on teaching and learning and use this </w:t>
      </w:r>
      <w:r w:rsidR="00793FCA" w:rsidRPr="003C44C6">
        <w:rPr>
          <w:rFonts w:ascii="Arial" w:hAnsi="Arial" w:cs="Arial"/>
          <w:sz w:val="24"/>
          <w:szCs w:val="24"/>
        </w:rPr>
        <w:t xml:space="preserve">to </w:t>
      </w:r>
      <w:r w:rsidR="00D9685D" w:rsidRPr="003C44C6">
        <w:rPr>
          <w:rFonts w:ascii="Arial" w:hAnsi="Arial" w:cs="Arial"/>
          <w:sz w:val="24"/>
          <w:szCs w:val="24"/>
        </w:rPr>
        <w:t>inform</w:t>
      </w:r>
      <w:r w:rsidR="00793FCA" w:rsidRPr="003C44C6">
        <w:rPr>
          <w:rFonts w:ascii="Arial" w:hAnsi="Arial" w:cs="Arial"/>
          <w:sz w:val="24"/>
          <w:szCs w:val="24"/>
        </w:rPr>
        <w:t xml:space="preserve"> professional development for staff</w:t>
      </w:r>
    </w:p>
    <w:p w:rsidR="003C44C6" w:rsidRDefault="003C44C6" w:rsidP="0093458E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3C44C6">
        <w:rPr>
          <w:rFonts w:ascii="Arial" w:hAnsi="Arial" w:cs="Arial"/>
          <w:sz w:val="24"/>
          <w:szCs w:val="24"/>
        </w:rPr>
        <w:t>Provide Self Evaluation evidence to the Governors and Senior Leadership to demonstrate impact of teaching and learning developments</w:t>
      </w:r>
    </w:p>
    <w:p w:rsidR="00F335AD" w:rsidRDefault="003C44C6" w:rsidP="0093458E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C44C6">
        <w:rPr>
          <w:rFonts w:ascii="Arial" w:hAnsi="Arial" w:cs="Arial"/>
          <w:sz w:val="24"/>
          <w:szCs w:val="24"/>
        </w:rPr>
        <w:t xml:space="preserve">lan and support monitoring and evaluation activities linked to quality of teaching and learning </w:t>
      </w:r>
    </w:p>
    <w:p w:rsidR="00D9685D" w:rsidRPr="003C44C6" w:rsidRDefault="00D9685D" w:rsidP="0093458E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3C44C6">
        <w:rPr>
          <w:rFonts w:ascii="Arial" w:hAnsi="Arial" w:cs="Arial"/>
          <w:sz w:val="24"/>
          <w:szCs w:val="24"/>
        </w:rPr>
        <w:t>Plan and lead Teaching and Learning aspects of professional development</w:t>
      </w:r>
      <w:r w:rsidR="009E3BE2">
        <w:rPr>
          <w:rFonts w:ascii="Arial" w:hAnsi="Arial" w:cs="Arial"/>
          <w:sz w:val="24"/>
          <w:szCs w:val="24"/>
        </w:rPr>
        <w:t>, including development meetings and INSET days</w:t>
      </w:r>
    </w:p>
    <w:p w:rsidR="00D9685D" w:rsidRDefault="00D9685D" w:rsidP="00243F06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manage and performance manage teaching and learning team leaders</w:t>
      </w:r>
    </w:p>
    <w:p w:rsidR="00F335AD" w:rsidRDefault="00F335AD" w:rsidP="00243F06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Define scope of teaching and learning teams work, including success criteria</w:t>
      </w:r>
    </w:p>
    <w:p w:rsidR="009E3BE2" w:rsidRDefault="009E3BE2" w:rsidP="00243F06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evaluate impact of coaching on teaching and learning</w:t>
      </w:r>
    </w:p>
    <w:p w:rsidR="009E3BE2" w:rsidRPr="00243F06" w:rsidRDefault="009E3BE2" w:rsidP="00243F06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responsible for updating and sharing expertise and research on teaching and learning with whole school</w:t>
      </w:r>
    </w:p>
    <w:p w:rsidR="00243F06" w:rsidRDefault="00E55E5D" w:rsidP="00243F06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Regularly and systematically l</w:t>
      </w:r>
      <w:r w:rsidR="00D9685D">
        <w:rPr>
          <w:rFonts w:ascii="Arial" w:hAnsi="Arial" w:cs="Arial"/>
          <w:sz w:val="24"/>
          <w:szCs w:val="24"/>
        </w:rPr>
        <w:t>iaise with leaders at all levels to ensure they understand and are implementing changes associated with teaching and learning priorities</w:t>
      </w:r>
    </w:p>
    <w:p w:rsidR="00D1198D" w:rsidRPr="00893C6D" w:rsidRDefault="00D1198D" w:rsidP="00243F06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893C6D">
        <w:rPr>
          <w:rFonts w:ascii="Arial" w:hAnsi="Arial" w:cs="Arial"/>
          <w:sz w:val="24"/>
          <w:szCs w:val="24"/>
        </w:rPr>
        <w:t>Regularly update T and L blog and publicise to all staff.</w:t>
      </w:r>
    </w:p>
    <w:p w:rsidR="0051432B" w:rsidRPr="00893C6D" w:rsidRDefault="0051432B" w:rsidP="00243F06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893C6D">
        <w:rPr>
          <w:rFonts w:ascii="Arial" w:hAnsi="Arial" w:cs="Arial"/>
          <w:sz w:val="24"/>
          <w:szCs w:val="24"/>
        </w:rPr>
        <w:t>Ensure all new staff are inducted into Crofton’s T and L standards</w:t>
      </w:r>
    </w:p>
    <w:p w:rsidR="00287024" w:rsidRDefault="00287024" w:rsidP="00287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and Confidentiality</w:t>
      </w:r>
      <w:r w:rsidR="00601A6F">
        <w:rPr>
          <w:rFonts w:ascii="Arial" w:hAnsi="Arial" w:cs="Arial"/>
          <w:sz w:val="24"/>
          <w:szCs w:val="24"/>
        </w:rPr>
        <w:t>:</w:t>
      </w:r>
    </w:p>
    <w:p w:rsidR="00ED0F76" w:rsidRPr="00287024" w:rsidRDefault="00287024" w:rsidP="00287024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aware of and comply with policies and procedures relating to child protection, security, confidentiality and data protection, reporting all concerns to an appropriate person.</w:t>
      </w:r>
    </w:p>
    <w:p w:rsidR="00ED0F76" w:rsidRPr="00287024" w:rsidRDefault="00ED0F76" w:rsidP="00287024">
      <w:pPr>
        <w:spacing w:after="0"/>
        <w:rPr>
          <w:rFonts w:ascii="Arial" w:hAnsi="Arial" w:cs="Arial"/>
          <w:sz w:val="24"/>
          <w:szCs w:val="24"/>
        </w:rPr>
      </w:pPr>
      <w:r w:rsidRPr="00287024">
        <w:rPr>
          <w:rFonts w:ascii="Arial" w:hAnsi="Arial" w:cs="Arial"/>
          <w:sz w:val="24"/>
          <w:szCs w:val="24"/>
        </w:rPr>
        <w:t>Health and Safety:</w:t>
      </w:r>
    </w:p>
    <w:p w:rsidR="00ED0F76" w:rsidRDefault="00ED0F76" w:rsidP="00ED0F7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fully aware of health and safety regulations.</w:t>
      </w:r>
    </w:p>
    <w:p w:rsidR="00BD4DF1" w:rsidRDefault="00BD4DF1" w:rsidP="00ED0F7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familiar with fire and other similar evacuation procedures and to act in accordance with them in any emergency situation.</w:t>
      </w:r>
    </w:p>
    <w:p w:rsidR="00ED0F76" w:rsidRDefault="00ED0F76" w:rsidP="00ED0F7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responsible care fo</w:t>
      </w:r>
      <w:r w:rsidR="00BD4DF1">
        <w:rPr>
          <w:rFonts w:ascii="Arial" w:hAnsi="Arial" w:cs="Arial"/>
          <w:sz w:val="24"/>
          <w:szCs w:val="24"/>
        </w:rPr>
        <w:t>r the health and safety of your</w:t>
      </w:r>
      <w:r>
        <w:rPr>
          <w:rFonts w:ascii="Arial" w:hAnsi="Arial" w:cs="Arial"/>
          <w:sz w:val="24"/>
          <w:szCs w:val="24"/>
        </w:rPr>
        <w:t>self and others who may be affected by your actions or omissions at work</w:t>
      </w:r>
      <w:r w:rsidR="00BD4DF1">
        <w:rPr>
          <w:rFonts w:ascii="Arial" w:hAnsi="Arial" w:cs="Arial"/>
          <w:sz w:val="24"/>
          <w:szCs w:val="24"/>
        </w:rPr>
        <w:t>.</w:t>
      </w:r>
    </w:p>
    <w:p w:rsidR="00BD4DF1" w:rsidRDefault="00BD4DF1" w:rsidP="00ED0F7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Cooperate with any requirements to adhere to Statutory or other safety regulations.</w:t>
      </w:r>
    </w:p>
    <w:p w:rsidR="00287024" w:rsidRDefault="00287024" w:rsidP="00287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Duties:</w:t>
      </w:r>
    </w:p>
    <w:p w:rsidR="00287024" w:rsidRPr="001E22EF" w:rsidRDefault="00287024" w:rsidP="0028702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any additional duties as may be reasonably required by t</w:t>
      </w:r>
      <w:r w:rsidR="007455A3">
        <w:rPr>
          <w:rFonts w:ascii="Arial" w:hAnsi="Arial" w:cs="Arial"/>
          <w:sz w:val="24"/>
          <w:szCs w:val="24"/>
        </w:rPr>
        <w:t>he Headteacher or your line man</w:t>
      </w:r>
      <w:r>
        <w:rPr>
          <w:rFonts w:ascii="Arial" w:hAnsi="Arial" w:cs="Arial"/>
          <w:sz w:val="24"/>
          <w:szCs w:val="24"/>
        </w:rPr>
        <w:t>a</w:t>
      </w:r>
      <w:r w:rsidR="007455A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er.</w:t>
      </w:r>
      <w:r>
        <w:rPr>
          <w:rFonts w:ascii="Arial" w:hAnsi="Arial" w:cs="Arial"/>
          <w:sz w:val="28"/>
          <w:szCs w:val="28"/>
        </w:rPr>
        <w:tab/>
      </w:r>
    </w:p>
    <w:p w:rsidR="005A2F30" w:rsidRDefault="005A2F30" w:rsidP="002368D1">
      <w:pPr>
        <w:spacing w:after="0"/>
        <w:rPr>
          <w:rFonts w:ascii="Arial" w:hAnsi="Arial" w:cs="Arial"/>
          <w:sz w:val="24"/>
          <w:szCs w:val="24"/>
        </w:rPr>
      </w:pPr>
    </w:p>
    <w:p w:rsidR="003235E6" w:rsidRDefault="003235E6" w:rsidP="00452E21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A2F30" w:rsidRPr="005A2F30" w:rsidRDefault="005A2F30" w:rsidP="00452E21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5A2F30">
        <w:rPr>
          <w:rFonts w:ascii="Arial" w:hAnsi="Arial" w:cs="Arial"/>
          <w:b/>
          <w:sz w:val="24"/>
          <w:szCs w:val="24"/>
        </w:rPr>
        <w:t>Review</w:t>
      </w:r>
      <w:r>
        <w:rPr>
          <w:rFonts w:ascii="Arial" w:hAnsi="Arial" w:cs="Arial"/>
          <w:b/>
          <w:sz w:val="24"/>
          <w:szCs w:val="24"/>
        </w:rPr>
        <w:t>:</w:t>
      </w:r>
    </w:p>
    <w:p w:rsidR="003909D5" w:rsidRPr="00F9291D" w:rsidRDefault="005A2F30" w:rsidP="0026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role profile will be reviewed annually during the performance management and may be amended after consultation.</w:t>
      </w:r>
    </w:p>
    <w:p w:rsidR="00F030BA" w:rsidRPr="00F9291D" w:rsidRDefault="00F030BA" w:rsidP="00267817">
      <w:pPr>
        <w:rPr>
          <w:rFonts w:ascii="Arial" w:hAnsi="Arial" w:cs="Arial"/>
          <w:sz w:val="24"/>
          <w:szCs w:val="24"/>
        </w:rPr>
      </w:pPr>
      <w:r w:rsidRPr="00F9291D">
        <w:rPr>
          <w:rFonts w:ascii="Arial" w:hAnsi="Arial" w:cs="Arial"/>
          <w:sz w:val="24"/>
          <w:szCs w:val="24"/>
        </w:rPr>
        <w:t>Date Reviewed:</w:t>
      </w:r>
    </w:p>
    <w:p w:rsidR="00F030BA" w:rsidRPr="00F9291D" w:rsidRDefault="00F030BA" w:rsidP="00267817">
      <w:pPr>
        <w:rPr>
          <w:rFonts w:ascii="Arial" w:hAnsi="Arial" w:cs="Arial"/>
          <w:sz w:val="24"/>
          <w:szCs w:val="24"/>
        </w:rPr>
      </w:pPr>
      <w:r w:rsidRPr="00F9291D">
        <w:rPr>
          <w:rFonts w:ascii="Arial" w:hAnsi="Arial" w:cs="Arial"/>
          <w:sz w:val="24"/>
          <w:szCs w:val="24"/>
        </w:rPr>
        <w:t>Reviewed by:</w:t>
      </w:r>
    </w:p>
    <w:p w:rsidR="00F030BA" w:rsidRDefault="00F030BA" w:rsidP="00267817">
      <w:pPr>
        <w:rPr>
          <w:rFonts w:ascii="Arial" w:hAnsi="Arial" w:cs="Arial"/>
          <w:sz w:val="24"/>
          <w:szCs w:val="24"/>
        </w:rPr>
      </w:pPr>
      <w:r w:rsidRPr="00F9291D">
        <w:rPr>
          <w:rFonts w:ascii="Arial" w:hAnsi="Arial" w:cs="Arial"/>
          <w:sz w:val="24"/>
          <w:szCs w:val="24"/>
        </w:rPr>
        <w:t>Additional notes:</w:t>
      </w:r>
    </w:p>
    <w:p w:rsidR="00D42E41" w:rsidRPr="00F9291D" w:rsidRDefault="00D42E41" w:rsidP="0026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role profile will be merged with generic role profile for classroom teacher on appointment</w:t>
      </w:r>
    </w:p>
    <w:sectPr w:rsidR="00D42E41" w:rsidRPr="00F9291D" w:rsidSect="003C44C6"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40" w:rsidRDefault="00E40F40" w:rsidP="00CC36AE">
      <w:pPr>
        <w:spacing w:after="0" w:line="240" w:lineRule="auto"/>
      </w:pPr>
      <w:r>
        <w:separator/>
      </w:r>
    </w:p>
  </w:endnote>
  <w:endnote w:type="continuationSeparator" w:id="0">
    <w:p w:rsidR="00E40F40" w:rsidRDefault="00E40F40" w:rsidP="00CC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AE" w:rsidRDefault="00D948EF" w:rsidP="00D948EF">
    <w:pPr>
      <w:pStyle w:val="Footer"/>
      <w:tabs>
        <w:tab w:val="clear" w:pos="4513"/>
      </w:tabs>
    </w:pPr>
    <w:r>
      <w:rPr>
        <w:noProof/>
        <w:lang w:eastAsia="en-GB"/>
      </w:rPr>
      <w:drawing>
        <wp:anchor distT="36576" distB="36576" distL="36576" distR="36576" simplePos="0" relativeHeight="251661312" behindDoc="1" locked="0" layoutInCell="1" allowOverlap="1" wp14:anchorId="5C88B6B1" wp14:editId="03D59419">
          <wp:simplePos x="0" y="0"/>
          <wp:positionH relativeFrom="page">
            <wp:align>right</wp:align>
          </wp:positionH>
          <wp:positionV relativeFrom="page">
            <wp:posOffset>8197952</wp:posOffset>
          </wp:positionV>
          <wp:extent cx="2489835" cy="2490470"/>
          <wp:effectExtent l="0" t="0" r="5715" b="622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2490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50800" dir="5400000" algn="ctr" rotWithShape="0">
                      <a:srgbClr val="000000">
                        <a:alpha val="39999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5B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D8C3E8" wp14:editId="65E04C4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B1" w:rsidRDefault="003335B1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D8C3E8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335B1" w:rsidRDefault="003335B1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40" w:rsidRDefault="00E40F40" w:rsidP="00CC36AE">
      <w:pPr>
        <w:spacing w:after="0" w:line="240" w:lineRule="auto"/>
      </w:pPr>
      <w:r>
        <w:separator/>
      </w:r>
    </w:p>
  </w:footnote>
  <w:footnote w:type="continuationSeparator" w:id="0">
    <w:p w:rsidR="00E40F40" w:rsidRDefault="00E40F40" w:rsidP="00CC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739"/>
    <w:multiLevelType w:val="hybridMultilevel"/>
    <w:tmpl w:val="D622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E26"/>
    <w:multiLevelType w:val="hybridMultilevel"/>
    <w:tmpl w:val="EF16E298"/>
    <w:lvl w:ilvl="0" w:tplc="7EE20D4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7518D9"/>
    <w:multiLevelType w:val="hybridMultilevel"/>
    <w:tmpl w:val="D598C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25E8"/>
    <w:multiLevelType w:val="hybridMultilevel"/>
    <w:tmpl w:val="2BC0D256"/>
    <w:lvl w:ilvl="0" w:tplc="5344AF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48A2"/>
    <w:multiLevelType w:val="hybridMultilevel"/>
    <w:tmpl w:val="6C16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865"/>
    <w:multiLevelType w:val="hybridMultilevel"/>
    <w:tmpl w:val="AB40502A"/>
    <w:lvl w:ilvl="0" w:tplc="4F189B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7D90"/>
    <w:multiLevelType w:val="hybridMultilevel"/>
    <w:tmpl w:val="6664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164E4"/>
    <w:multiLevelType w:val="hybridMultilevel"/>
    <w:tmpl w:val="766E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3746B"/>
    <w:multiLevelType w:val="hybridMultilevel"/>
    <w:tmpl w:val="5A1C4902"/>
    <w:lvl w:ilvl="0" w:tplc="847AE4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862CD"/>
    <w:multiLevelType w:val="hybridMultilevel"/>
    <w:tmpl w:val="4AD4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95A6A"/>
    <w:multiLevelType w:val="hybridMultilevel"/>
    <w:tmpl w:val="DF12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12"/>
    <w:rsid w:val="00005198"/>
    <w:rsid w:val="00090808"/>
    <w:rsid w:val="000D7E5A"/>
    <w:rsid w:val="000E00E7"/>
    <w:rsid w:val="00116242"/>
    <w:rsid w:val="00216277"/>
    <w:rsid w:val="002368D1"/>
    <w:rsid w:val="00243F06"/>
    <w:rsid w:val="00267817"/>
    <w:rsid w:val="00287024"/>
    <w:rsid w:val="00301412"/>
    <w:rsid w:val="003072C6"/>
    <w:rsid w:val="003235E6"/>
    <w:rsid w:val="003335B1"/>
    <w:rsid w:val="003343F6"/>
    <w:rsid w:val="003909D5"/>
    <w:rsid w:val="003C44C6"/>
    <w:rsid w:val="003D1A11"/>
    <w:rsid w:val="00413CE3"/>
    <w:rsid w:val="004266B5"/>
    <w:rsid w:val="00452E21"/>
    <w:rsid w:val="004653E4"/>
    <w:rsid w:val="004B27F1"/>
    <w:rsid w:val="004C63C7"/>
    <w:rsid w:val="004C67F9"/>
    <w:rsid w:val="0051432B"/>
    <w:rsid w:val="00573B1D"/>
    <w:rsid w:val="005A2F30"/>
    <w:rsid w:val="005F5FFD"/>
    <w:rsid w:val="00601A6F"/>
    <w:rsid w:val="006100A4"/>
    <w:rsid w:val="00614D28"/>
    <w:rsid w:val="006C233D"/>
    <w:rsid w:val="006C7A58"/>
    <w:rsid w:val="006D1707"/>
    <w:rsid w:val="00720802"/>
    <w:rsid w:val="007455A3"/>
    <w:rsid w:val="00793D62"/>
    <w:rsid w:val="00793FCA"/>
    <w:rsid w:val="007B351F"/>
    <w:rsid w:val="00800DF5"/>
    <w:rsid w:val="00816915"/>
    <w:rsid w:val="008443D3"/>
    <w:rsid w:val="00882CBE"/>
    <w:rsid w:val="00893C6D"/>
    <w:rsid w:val="008E37C7"/>
    <w:rsid w:val="009C3C4C"/>
    <w:rsid w:val="009E3BE2"/>
    <w:rsid w:val="009E6D1F"/>
    <w:rsid w:val="00BB4A22"/>
    <w:rsid w:val="00BC4060"/>
    <w:rsid w:val="00BD4DF1"/>
    <w:rsid w:val="00C264C2"/>
    <w:rsid w:val="00C3540A"/>
    <w:rsid w:val="00C70925"/>
    <w:rsid w:val="00C9287A"/>
    <w:rsid w:val="00C94E47"/>
    <w:rsid w:val="00CC36AE"/>
    <w:rsid w:val="00D1198D"/>
    <w:rsid w:val="00D42E41"/>
    <w:rsid w:val="00D948EF"/>
    <w:rsid w:val="00D9685D"/>
    <w:rsid w:val="00E40F40"/>
    <w:rsid w:val="00E55E5D"/>
    <w:rsid w:val="00ED0F76"/>
    <w:rsid w:val="00EE74E9"/>
    <w:rsid w:val="00F030BA"/>
    <w:rsid w:val="00F17DA8"/>
    <w:rsid w:val="00F31575"/>
    <w:rsid w:val="00F335AD"/>
    <w:rsid w:val="00F44207"/>
    <w:rsid w:val="00F9291D"/>
    <w:rsid w:val="00FC2CCF"/>
    <w:rsid w:val="00FC3F63"/>
    <w:rsid w:val="00FC469C"/>
    <w:rsid w:val="00FD019B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7F3CB97-B2F2-44BC-B684-D62D1EB5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AE"/>
  </w:style>
  <w:style w:type="paragraph" w:styleId="Footer">
    <w:name w:val="footer"/>
    <w:basedOn w:val="Normal"/>
    <w:link w:val="FooterChar"/>
    <w:uiPriority w:val="99"/>
    <w:unhideWhenUsed/>
    <w:rsid w:val="00CC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AE"/>
  </w:style>
  <w:style w:type="paragraph" w:styleId="BalloonText">
    <w:name w:val="Balloon Text"/>
    <w:basedOn w:val="Normal"/>
    <w:link w:val="BalloonTextChar"/>
    <w:uiPriority w:val="99"/>
    <w:semiHidden/>
    <w:unhideWhenUsed/>
    <w:rsid w:val="0042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B5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C70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Tribe</dc:creator>
  <cp:keywords/>
  <dc:description/>
  <cp:lastModifiedBy>Kay McKenning</cp:lastModifiedBy>
  <cp:revision>3</cp:revision>
  <cp:lastPrinted>2020-03-09T10:15:00Z</cp:lastPrinted>
  <dcterms:created xsi:type="dcterms:W3CDTF">2020-02-26T12:33:00Z</dcterms:created>
  <dcterms:modified xsi:type="dcterms:W3CDTF">2020-03-09T12:02:00Z</dcterms:modified>
</cp:coreProperties>
</file>